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F" w:rsidRPr="00AE13A7" w:rsidRDefault="00E044BF" w:rsidP="00E044BF">
      <w:pPr>
        <w:jc w:val="center"/>
        <w:rPr>
          <w:rFonts w:cs="B Titr"/>
          <w:b/>
          <w:bCs/>
          <w:sz w:val="24"/>
          <w:szCs w:val="24"/>
          <w:u w:val="single"/>
          <w:lang w:bidi="fa-IR"/>
        </w:rPr>
      </w:pPr>
      <w:bookmarkStart w:id="0" w:name="_GoBack"/>
      <w:bookmarkEnd w:id="0"/>
      <w:r w:rsidRPr="00A62472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F43D73" w:rsidRPr="00AE13A7" w:rsidRDefault="00807C74" w:rsidP="008E4D98">
      <w:pPr>
        <w:bidi/>
        <w:spacing w:line="360" w:lineRule="auto"/>
        <w:jc w:val="center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گزارش اجمالی </w:t>
      </w:r>
      <w:r w:rsidR="00886EA7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از عملیات اجرائی </w:t>
      </w:r>
      <w:r w:rsidR="008E4D9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سال 1399مدیریت آب و خاک</w:t>
      </w:r>
    </w:p>
    <w:p w:rsidR="003F2DAB" w:rsidRDefault="005A0A94" w:rsidP="002D30B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5A0A94">
        <w:rPr>
          <w:rFonts w:cs="B Titr" w:hint="cs"/>
          <w:b/>
          <w:bCs/>
          <w:sz w:val="28"/>
          <w:szCs w:val="28"/>
          <w:rtl/>
          <w:lang w:bidi="fa-IR"/>
        </w:rPr>
        <w:t>طرح بهسازی آببندانها</w:t>
      </w:r>
      <w:r w:rsidR="00886EA7">
        <w:rPr>
          <w:rFonts w:cs="B Titr" w:hint="cs"/>
          <w:b/>
          <w:bCs/>
          <w:sz w:val="28"/>
          <w:szCs w:val="28"/>
          <w:rtl/>
          <w:lang w:bidi="fa-IR"/>
        </w:rPr>
        <w:t xml:space="preserve"> به عنوان اقدامی در جهت توسعه منابع آبی</w:t>
      </w:r>
    </w:p>
    <w:p w:rsidR="008E4D98" w:rsidRDefault="005A0A94" w:rsidP="0060500A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43D7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اعتبارات  تامین شده </w:t>
      </w:r>
      <w:r w:rsidR="0022363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23635"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از منابع ملی و استانی</w:t>
      </w:r>
      <w:r w:rsidR="0022363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43D7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و موافقتنامه های ابلاغی  مبلغ </w:t>
      </w:r>
      <w:r w:rsidR="00D15AB0" w:rsidRPr="00AE13A7">
        <w:rPr>
          <w:rFonts w:cs="B Mitra" w:hint="cs"/>
          <w:b/>
          <w:bCs/>
          <w:sz w:val="24"/>
          <w:szCs w:val="24"/>
          <w:rtl/>
          <w:lang w:bidi="fa-IR"/>
        </w:rPr>
        <w:t>880.000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میلیون </w:t>
      </w:r>
      <w:r w:rsidR="00F43D73" w:rsidRPr="00AE13A7">
        <w:rPr>
          <w:rFonts w:cs="B Mitra" w:hint="cs"/>
          <w:b/>
          <w:bCs/>
          <w:sz w:val="24"/>
          <w:szCs w:val="24"/>
          <w:rtl/>
          <w:lang w:bidi="fa-IR"/>
        </w:rPr>
        <w:t>ریال از 2 منبع استانی(جزء 14 ردیف 550000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) و ملی(جزء 40 ردیف 550000) سطحی بالغ بر </w:t>
      </w:r>
      <w:r w:rsidR="00D15AB0" w:rsidRPr="00AE13A7">
        <w:rPr>
          <w:rFonts w:cs="B Mitra" w:hint="cs"/>
          <w:b/>
          <w:bCs/>
          <w:sz w:val="24"/>
          <w:szCs w:val="24"/>
          <w:rtl/>
          <w:lang w:bidi="fa-IR"/>
        </w:rPr>
        <w:t>2.000هکتار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در قالب 162 پروژه در سطح 16 شهرستان </w:t>
      </w:r>
      <w:r w:rsidR="00807C74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تعریف گردید که با توجه به تخصیص های اعلام شده 290میلیارد ریال از منابع ملی و 1</w:t>
      </w:r>
      <w:r w:rsidR="00886EA7" w:rsidRPr="00AE13A7">
        <w:rPr>
          <w:rFonts w:cs="B Mitra" w:hint="cs"/>
          <w:b/>
          <w:bCs/>
          <w:sz w:val="24"/>
          <w:szCs w:val="24"/>
          <w:rtl/>
          <w:lang w:bidi="fa-IR"/>
        </w:rPr>
        <w:t>54</w:t>
      </w:r>
      <w:r w:rsidR="00807C74" w:rsidRPr="00AE13A7">
        <w:rPr>
          <w:rFonts w:cs="B Mitra" w:hint="cs"/>
          <w:b/>
          <w:bCs/>
          <w:sz w:val="24"/>
          <w:szCs w:val="24"/>
          <w:rtl/>
          <w:lang w:bidi="fa-IR"/>
        </w:rPr>
        <w:t>میلیارد ریال از منابع استانی ،به منظور اجتناب از ایجاد تعهد مازاد بر ضمیمه دولت عملیات اجرائی در سقف 4</w:t>
      </w:r>
      <w:r w:rsidR="00886EA7" w:rsidRPr="00AE13A7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807C74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0میلیارد ریال تخصیص محدود گردیده است. سطح عملیات اجرائی با توجه تخصیص های اعلام شده در </w:t>
      </w:r>
      <w:r w:rsidR="00807C74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حدود 1</w:t>
      </w:r>
      <w:r w:rsidR="008E4D9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6</w:t>
      </w:r>
      <w:r w:rsidR="00807C74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00هکتار</w:t>
      </w:r>
      <w:r w:rsidR="00807C74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به تعداد </w:t>
      </w:r>
      <w:r w:rsidR="008E4D98">
        <w:rPr>
          <w:rFonts w:cs="B Mitra" w:hint="cs"/>
          <w:b/>
          <w:bCs/>
          <w:sz w:val="24"/>
          <w:szCs w:val="24"/>
          <w:rtl/>
          <w:lang w:bidi="fa-IR"/>
        </w:rPr>
        <w:t>131</w:t>
      </w:r>
      <w:r w:rsidR="00807C74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پروژه </w:t>
      </w:r>
      <w:r w:rsidR="0060500A">
        <w:rPr>
          <w:rFonts w:cs="B Mitra" w:hint="cs"/>
          <w:b/>
          <w:bCs/>
          <w:sz w:val="24"/>
          <w:szCs w:val="24"/>
          <w:rtl/>
          <w:lang w:bidi="fa-IR"/>
        </w:rPr>
        <w:t>به انجام رسیده است.</w:t>
      </w:r>
    </w:p>
    <w:p w:rsidR="00886EA7" w:rsidRPr="00886EA7" w:rsidRDefault="00071933" w:rsidP="00771EE6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071933">
        <w:rPr>
          <w:rFonts w:cs="B Titr" w:hint="cs"/>
          <w:b/>
          <w:bCs/>
          <w:sz w:val="28"/>
          <w:szCs w:val="28"/>
          <w:rtl/>
          <w:lang w:bidi="fa-IR"/>
        </w:rPr>
        <w:t>طرح تجهیز و نوسازی اراضی شالیکاری</w:t>
      </w:r>
      <w:r w:rsidR="00886EA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3F2DAB" w:rsidRDefault="00886EA7" w:rsidP="00886EA7">
      <w:pPr>
        <w:pStyle w:val="ListParagraph"/>
        <w:bidi/>
        <w:spacing w:line="360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(اجرای عملیات در راستای مدیریت بهینه مصرف آب و کاهش هزینه های تولید</w:t>
      </w:r>
      <w:r w:rsidR="0007193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5A0A94" w:rsidRDefault="00223635" w:rsidP="005361C2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>این طرح</w:t>
      </w:r>
      <w:r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71933"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از محل منابع ملی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دارای اعتباری به مبلغ </w:t>
      </w:r>
      <w:r w:rsidR="00D15AB0" w:rsidRPr="00AE13A7">
        <w:rPr>
          <w:rFonts w:cs="B Mitra"/>
          <w:b/>
          <w:bCs/>
          <w:sz w:val="24"/>
          <w:szCs w:val="24"/>
          <w:rtl/>
          <w:lang w:bidi="fa-IR"/>
        </w:rPr>
        <w:t>260.703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>میلیون ریال می باشد که از محل اعتبارات مذکور بالغ بر</w:t>
      </w:r>
      <w:r w:rsidR="00964EF5" w:rsidRPr="00AE13A7">
        <w:rPr>
          <w:rFonts w:cs="B Mitra" w:hint="cs"/>
          <w:b/>
          <w:bCs/>
          <w:sz w:val="24"/>
          <w:szCs w:val="24"/>
          <w:rtl/>
          <w:lang w:bidi="fa-IR"/>
        </w:rPr>
        <w:t>22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پروژه در سطح</w:t>
      </w:r>
      <w:r w:rsidR="004247A2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شهرستانهای 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247A2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رشت ،لاهیجان ،آستانه ،لنگرود ،رودسر ،شفت ،تالش به </w:t>
      </w:r>
      <w:r w:rsidR="004247A2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مساحت </w:t>
      </w:r>
      <w:r w:rsidR="005361C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1761</w:t>
      </w:r>
      <w:r w:rsidR="00071933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هکتار</w:t>
      </w:r>
      <w:r w:rsidR="000719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64EF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E4D98">
        <w:rPr>
          <w:rFonts w:cs="B Mitra" w:hint="cs"/>
          <w:b/>
          <w:bCs/>
          <w:sz w:val="24"/>
          <w:szCs w:val="24"/>
          <w:rtl/>
          <w:lang w:bidi="fa-IR"/>
        </w:rPr>
        <w:t>به اتمام رسیده و تحویل بهره برداران گردیده و اعتبارات تخصیصی نیز جذب گردیده است</w:t>
      </w:r>
      <w:r w:rsidR="00771EE6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771EE6" w:rsidRPr="00AE13A7" w:rsidRDefault="00771EE6" w:rsidP="00771EE6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lang w:bidi="fa-IR"/>
        </w:rPr>
      </w:pPr>
    </w:p>
    <w:p w:rsidR="005A0A94" w:rsidRDefault="00DD4FC1" w:rsidP="00DD4FC1">
      <w:pPr>
        <w:pStyle w:val="ListParagraph"/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3- </w:t>
      </w:r>
      <w:r w:rsidRPr="00DD4FC1">
        <w:rPr>
          <w:rFonts w:cs="B Titr" w:hint="cs"/>
          <w:b/>
          <w:bCs/>
          <w:sz w:val="28"/>
          <w:szCs w:val="28"/>
          <w:rtl/>
          <w:lang w:bidi="fa-IR"/>
        </w:rPr>
        <w:t>ساختمان شبکه های فرعی آبیاری و زهکشی</w:t>
      </w:r>
      <w:r>
        <w:rPr>
          <w:rFonts w:cs="B Titr" w:hint="cs"/>
          <w:b/>
          <w:bCs/>
          <w:sz w:val="28"/>
          <w:szCs w:val="28"/>
          <w:rtl/>
          <w:lang w:bidi="fa-IR"/>
        </w:rPr>
        <w:t>(لاینینگ کانالهای آبیاری)</w:t>
      </w:r>
      <w:r w:rsidR="00886EA7">
        <w:rPr>
          <w:rFonts w:cs="B Titr" w:hint="cs"/>
          <w:b/>
          <w:bCs/>
          <w:sz w:val="28"/>
          <w:szCs w:val="28"/>
          <w:rtl/>
          <w:lang w:bidi="fa-IR"/>
        </w:rPr>
        <w:t xml:space="preserve"> با هدف افزایش راندمان توزیع </w:t>
      </w:r>
      <w:r w:rsidR="00AE13A7">
        <w:rPr>
          <w:rFonts w:cs="B Titr" w:hint="cs"/>
          <w:b/>
          <w:bCs/>
          <w:sz w:val="28"/>
          <w:szCs w:val="28"/>
          <w:rtl/>
          <w:lang w:bidi="fa-IR"/>
        </w:rPr>
        <w:t>و صرف جوئی در مصرف آب زراعی</w:t>
      </w:r>
    </w:p>
    <w:p w:rsidR="003F2DAB" w:rsidRPr="00AE13A7" w:rsidRDefault="00A82DEB" w:rsidP="00D15AB0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از محل اعتبارات ملی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مبلغ </w:t>
      </w:r>
      <w:r w:rsidR="00D15AB0" w:rsidRPr="00AE13A7">
        <w:rPr>
          <w:rFonts w:cs="B Mitra" w:hint="cs"/>
          <w:b/>
          <w:bCs/>
          <w:sz w:val="24"/>
          <w:szCs w:val="24"/>
          <w:rtl/>
          <w:lang w:bidi="fa-IR"/>
        </w:rPr>
        <w:t>67.320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میلیون ریال جهت  پوشش بتنی کانالهای فرعی آبیاری استان تامین </w:t>
      </w:r>
    </w:p>
    <w:p w:rsidR="008E4D98" w:rsidRDefault="00A82DEB" w:rsidP="008E4D98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گردیده که </w:t>
      </w:r>
      <w:r w:rsidR="003F2DAB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از محل اعتبارات مزبور 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در قالب </w:t>
      </w:r>
      <w:r w:rsidR="00E35B38">
        <w:rPr>
          <w:rFonts w:cs="B Mitra" w:hint="cs"/>
          <w:b/>
          <w:bCs/>
          <w:sz w:val="24"/>
          <w:szCs w:val="24"/>
          <w:rtl/>
          <w:lang w:bidi="fa-IR"/>
        </w:rPr>
        <w:t>12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پروژه </w:t>
      </w:r>
      <w:r w:rsidR="001B62AE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حدود </w:t>
      </w:r>
      <w:r w:rsidR="00E35B3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5</w:t>
      </w:r>
      <w:r w:rsidR="00964EF5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00/</w:t>
      </w:r>
      <w:r w:rsidR="008E4D9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5</w:t>
      </w:r>
      <w:r w:rsidR="001B62AE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کیلومتر</w:t>
      </w:r>
      <w:r w:rsidR="003F2DAB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از کانالهای آبیاری شهرستانهای فومن، صومعه سرا، تالش،شفت، رودبار، سیاهکل،املش،لنگرود،رودسر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3F2DAB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دارای پوشش بتنی </w:t>
      </w:r>
      <w:r w:rsidR="00964EF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می </w:t>
      </w:r>
      <w:r w:rsidR="003F2DAB" w:rsidRPr="00AE13A7">
        <w:rPr>
          <w:rFonts w:cs="B Mitra" w:hint="cs"/>
          <w:b/>
          <w:bCs/>
          <w:sz w:val="24"/>
          <w:szCs w:val="24"/>
          <w:rtl/>
          <w:lang w:bidi="fa-IR"/>
        </w:rPr>
        <w:t>گردند.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این پروژه ها </w:t>
      </w:r>
      <w:r w:rsidR="008E4D98">
        <w:rPr>
          <w:rFonts w:cs="B Mitra" w:hint="cs"/>
          <w:b/>
          <w:bCs/>
          <w:sz w:val="24"/>
          <w:szCs w:val="24"/>
          <w:rtl/>
          <w:lang w:bidi="fa-IR"/>
        </w:rPr>
        <w:t>به اتمام رسیده و تحویل بهره برداران گردیده و اعتبارات تخصیصی نیز جذب گردیده است.</w:t>
      </w:r>
    </w:p>
    <w:p w:rsidR="008E4D98" w:rsidRPr="00AE13A7" w:rsidRDefault="008E4D98" w:rsidP="008E4D98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lang w:bidi="fa-IR"/>
        </w:rPr>
      </w:pPr>
    </w:p>
    <w:p w:rsidR="005A0A94" w:rsidRPr="003F2DAB" w:rsidRDefault="003F2DAB" w:rsidP="008E4D98">
      <w:pPr>
        <w:pStyle w:val="ListParagraph"/>
        <w:bidi/>
        <w:spacing w:line="360" w:lineRule="auto"/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4-</w:t>
      </w:r>
      <w:r w:rsidRPr="003F2DAB">
        <w:rPr>
          <w:rFonts w:cs="B Titr" w:hint="cs"/>
          <w:b/>
          <w:bCs/>
          <w:sz w:val="28"/>
          <w:szCs w:val="28"/>
          <w:rtl/>
          <w:lang w:bidi="fa-IR"/>
        </w:rPr>
        <w:t xml:space="preserve">سامانه های نوین آبیاری </w:t>
      </w:r>
      <w:r w:rsidR="00AE13A7">
        <w:rPr>
          <w:rFonts w:cs="B Titr" w:hint="cs"/>
          <w:b/>
          <w:bCs/>
          <w:sz w:val="28"/>
          <w:szCs w:val="28"/>
          <w:rtl/>
          <w:lang w:bidi="fa-IR"/>
        </w:rPr>
        <w:t xml:space="preserve">با هدف کاهش تلفات آب و افزایش راندمان مصرف </w:t>
      </w:r>
    </w:p>
    <w:p w:rsidR="005A0A94" w:rsidRDefault="003F2DAB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از محل اعتبارات </w:t>
      </w:r>
      <w:r w:rsidR="00423433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تسهیلات کمکهای فنی و اعتباری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سامانه های نوین آبیاری در سالجاری 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مبلغ </w:t>
      </w:r>
      <w:r w:rsidR="00D15AB0" w:rsidRPr="00AE13A7">
        <w:rPr>
          <w:rFonts w:cs="B Mitra" w:hint="cs"/>
          <w:b/>
          <w:bCs/>
          <w:sz w:val="24"/>
          <w:szCs w:val="24"/>
          <w:rtl/>
          <w:lang w:bidi="fa-IR"/>
        </w:rPr>
        <w:t>305.000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>میلیون ریال</w:t>
      </w:r>
      <w:r w:rsidR="0022363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23635"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از محل منابع ملی</w:t>
      </w:r>
      <w:r w:rsidR="0022363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اعتبار تامین گردیده که از محل اعتبارات مذکور </w:t>
      </w:r>
      <w:r w:rsidR="00964EF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در سطح 16 شهرستان ،</w:t>
      </w:r>
      <w:r w:rsidR="0002175A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B7FF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به تعداد </w:t>
      </w:r>
      <w:r w:rsidR="008A7429">
        <w:rPr>
          <w:rFonts w:cs="B Mitra" w:hint="cs"/>
          <w:b/>
          <w:bCs/>
          <w:sz w:val="24"/>
          <w:szCs w:val="24"/>
          <w:rtl/>
          <w:lang w:bidi="fa-IR"/>
        </w:rPr>
        <w:t>60</w:t>
      </w:r>
      <w:r w:rsidR="00CB7FF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پروژه در 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سطحی </w:t>
      </w:r>
      <w:r w:rsidR="00FB68B9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معادل </w:t>
      </w:r>
      <w:r w:rsidR="008A7429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16</w:t>
      </w:r>
      <w:r w:rsidR="0060500A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40</w:t>
      </w:r>
      <w:r w:rsidR="00CB7FF9" w:rsidRPr="00AE13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هکتار</w:t>
      </w:r>
      <w:r w:rsidR="00CB7FF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از اراضی زراعی و باغی اعم از چای و باغات مثمر دیگر(فندوق، زیتون، و غیره) استان به اجرای سامانه های تحت فشار  و کم فشار(انتقال آب با لوله) اختصاص </w:t>
      </w:r>
      <w:r w:rsidR="00964EF5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یافته است </w:t>
      </w:r>
      <w:r w:rsidR="00FB68B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B7FF9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130911">
        <w:rPr>
          <w:rFonts w:cs="B Mitra" w:hint="cs"/>
          <w:b/>
          <w:bCs/>
          <w:sz w:val="28"/>
          <w:szCs w:val="28"/>
          <w:rtl/>
          <w:lang w:bidi="fa-IR"/>
        </w:rPr>
        <w:t>با اجرای طرح سامانه های نوین آبیاری راندمان کاربرد(مزرعه) 44%کاهش مصرف کود 30%و کاهش مصرف انرژی 25% محقق می گردد</w:t>
      </w:r>
      <w:r w:rsidR="008E4D98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p w:rsidR="00FB68B9" w:rsidRDefault="00223635" w:rsidP="00FB68B9">
      <w:pPr>
        <w:pStyle w:val="ListParagraph"/>
        <w:bidi/>
        <w:spacing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223635">
        <w:rPr>
          <w:rFonts w:cs="B Titr" w:hint="cs"/>
          <w:b/>
          <w:bCs/>
          <w:sz w:val="28"/>
          <w:szCs w:val="28"/>
          <w:rtl/>
          <w:lang w:bidi="fa-IR"/>
        </w:rPr>
        <w:t>5- طرح تامین و انتقال آب در اراضی شیبدار</w:t>
      </w:r>
      <w:r w:rsidR="00AE13A7">
        <w:rPr>
          <w:rFonts w:cs="B Titr" w:hint="cs"/>
          <w:b/>
          <w:bCs/>
          <w:sz w:val="28"/>
          <w:szCs w:val="28"/>
          <w:rtl/>
          <w:lang w:bidi="fa-IR"/>
        </w:rPr>
        <w:t xml:space="preserve">با هدف تامین آب زراعی مناطق پرشیب استان </w:t>
      </w:r>
    </w:p>
    <w:p w:rsidR="00223635" w:rsidRPr="00AE13A7" w:rsidRDefault="00223635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از محل </w:t>
      </w:r>
      <w:r w:rsidRPr="00AE13A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اعتبارات ملی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طرح مذکور مبلغ 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17.000 میلیون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>ریال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برای تامین آب در مناطق پرشیب و کوهستانی تامین شده که </w:t>
      </w:r>
      <w:r w:rsidR="008E4D98">
        <w:rPr>
          <w:rFonts w:cs="B Mitra" w:hint="cs"/>
          <w:b/>
          <w:bCs/>
          <w:sz w:val="24"/>
          <w:szCs w:val="24"/>
          <w:rtl/>
          <w:lang w:bidi="fa-IR"/>
        </w:rPr>
        <w:t xml:space="preserve">عملیات اجرائی آنها در قالب تکمیل طرح های نیمه تمام روستاهای دولت آباد و دارستان شهرستان رودبار </w:t>
      </w:r>
      <w:r w:rsidR="0060500A">
        <w:rPr>
          <w:rFonts w:cs="B Mitra" w:hint="cs"/>
          <w:b/>
          <w:bCs/>
          <w:sz w:val="24"/>
          <w:szCs w:val="24"/>
          <w:rtl/>
          <w:lang w:bidi="fa-IR"/>
        </w:rPr>
        <w:t>به انجام رسیده است</w:t>
      </w:r>
    </w:p>
    <w:p w:rsidR="00223635" w:rsidRDefault="00223635" w:rsidP="00C12213">
      <w:pPr>
        <w:pStyle w:val="ListParagraph"/>
        <w:bidi/>
        <w:spacing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423433">
        <w:rPr>
          <w:rFonts w:cs="B Titr" w:hint="cs"/>
          <w:b/>
          <w:bCs/>
          <w:sz w:val="28"/>
          <w:szCs w:val="28"/>
          <w:rtl/>
          <w:lang w:bidi="fa-IR"/>
        </w:rPr>
        <w:t>6-</w:t>
      </w:r>
      <w:r w:rsidR="00423433" w:rsidRPr="00423433">
        <w:rPr>
          <w:rFonts w:cs="B Titr" w:hint="cs"/>
          <w:b/>
          <w:bCs/>
          <w:sz w:val="28"/>
          <w:szCs w:val="28"/>
          <w:rtl/>
          <w:lang w:bidi="fa-IR"/>
        </w:rPr>
        <w:t>بازسازی و نوسازی قنوات استان</w:t>
      </w:r>
      <w:r w:rsidR="00AE13A7">
        <w:rPr>
          <w:rFonts w:cs="B Titr" w:hint="cs"/>
          <w:b/>
          <w:bCs/>
          <w:sz w:val="28"/>
          <w:szCs w:val="28"/>
          <w:rtl/>
          <w:lang w:bidi="fa-IR"/>
        </w:rPr>
        <w:t xml:space="preserve"> با هدف احیاء این سازه های سنتی و تامین آب باغات پائین دست.</w:t>
      </w:r>
    </w:p>
    <w:p w:rsidR="00771EE6" w:rsidRDefault="00423433" w:rsidP="00771EE6">
      <w:pPr>
        <w:pStyle w:val="ListParagraph"/>
        <w:bidi/>
        <w:spacing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مبلغ 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1.575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>میلیون ریال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از محل </w:t>
      </w:r>
      <w:r w:rsidR="00FA3F4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کمکهای فنی و اعتباری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>منابع ملی برای بازسازی قنوات روستاهای علی آباد و گنجه شهرستان رودبار</w:t>
      </w:r>
      <w:r w:rsidR="005D54EA">
        <w:rPr>
          <w:rFonts w:cs="B Mitra" w:hint="cs"/>
          <w:b/>
          <w:bCs/>
          <w:sz w:val="24"/>
          <w:szCs w:val="24"/>
          <w:rtl/>
          <w:lang w:bidi="fa-IR"/>
        </w:rPr>
        <w:t>(حدود 110هکتار به صورت تلفیقی)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تامین </w:t>
      </w:r>
      <w:r w:rsidR="00771EE6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این پروژه ها </w:t>
      </w:r>
      <w:r w:rsidR="00771EE6">
        <w:rPr>
          <w:rFonts w:cs="B Mitra" w:hint="cs"/>
          <w:b/>
          <w:bCs/>
          <w:sz w:val="24"/>
          <w:szCs w:val="24"/>
          <w:rtl/>
          <w:lang w:bidi="fa-IR"/>
        </w:rPr>
        <w:t>به اتمام رسیده وعملیات اجرائی آنها نیزبه اتمام رسیده و تحویل بهره برداران گردیده و اعتبارات تخصیصی نیز جذب گردیده است.</w:t>
      </w:r>
    </w:p>
    <w:p w:rsidR="00FA3F49" w:rsidRPr="00AE13A7" w:rsidRDefault="00FA3F49" w:rsidP="00771EE6">
      <w:pPr>
        <w:pStyle w:val="ListParagraph"/>
        <w:bidi/>
        <w:spacing w:line="360" w:lineRule="auto"/>
        <w:jc w:val="both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7- </w:t>
      </w:r>
      <w:r w:rsidRPr="00FA3F49">
        <w:rPr>
          <w:rFonts w:cs="B Titr" w:hint="cs"/>
          <w:b/>
          <w:bCs/>
          <w:sz w:val="28"/>
          <w:szCs w:val="28"/>
          <w:rtl/>
          <w:lang w:bidi="fa-IR"/>
        </w:rPr>
        <w:t xml:space="preserve">اعتبارات استانی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برای احداث سازه های آبی کوچک </w:t>
      </w:r>
      <w:r w:rsidRPr="00FA3F49">
        <w:rPr>
          <w:rFonts w:cs="B Titr" w:hint="cs"/>
          <w:b/>
          <w:bCs/>
          <w:rtl/>
          <w:lang w:bidi="fa-IR"/>
        </w:rPr>
        <w:t>(</w:t>
      </w:r>
      <w:r w:rsidRPr="00AE13A7">
        <w:rPr>
          <w:rFonts w:cs="B Titr" w:hint="cs"/>
          <w:b/>
          <w:bCs/>
          <w:sz w:val="20"/>
          <w:szCs w:val="20"/>
          <w:rtl/>
          <w:lang w:bidi="fa-IR"/>
        </w:rPr>
        <w:t>دریچه گذاری و ایستگاههای پمپاژ، سردهنه سازی، بندهای انحرافی ،  ترمیم کانالها ،لایروبی انهار و بازسازی خسارات سیل و ...)</w:t>
      </w:r>
      <w:r w:rsidR="00AE13A7" w:rsidRPr="00AE13A7">
        <w:rPr>
          <w:rFonts w:cs="B Titr" w:hint="cs"/>
          <w:b/>
          <w:bCs/>
          <w:sz w:val="20"/>
          <w:szCs w:val="20"/>
          <w:rtl/>
          <w:lang w:bidi="fa-IR"/>
        </w:rPr>
        <w:t xml:space="preserve"> با هدف آماده سازی امکانات فنی موجود و ایجاد تاسیسات جدید در قالب پروژه های کوچک تامین آب </w:t>
      </w:r>
    </w:p>
    <w:p w:rsidR="00D15AB0" w:rsidRDefault="0067064F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اعتبارات ابلاغی بر اساس </w:t>
      </w:r>
      <w:r w:rsidR="00FA3F4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A3F49" w:rsidRPr="00AE13A7">
        <w:rPr>
          <w:rFonts w:cs="B Mitra" w:hint="cs"/>
          <w:b/>
          <w:bCs/>
          <w:sz w:val="24"/>
          <w:szCs w:val="24"/>
          <w:rtl/>
          <w:lang w:bidi="fa-IR"/>
        </w:rPr>
        <w:t>موافقت نامه ها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ی </w:t>
      </w:r>
      <w:r w:rsidR="00FA3F49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(که حاصل مصوبات شورای برنامه ریزی شهرستانها می باشد) جمعاً  به مبلغ بالغ بر </w:t>
      </w:r>
      <w:r w:rsidR="001B62AE"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161.900 میلیون ریال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می باشد که اعتبارات مربوطه به شهرستان ها ابلاغ گردیده است . این طرح در سطح کلیه شهرستانها </w:t>
      </w:r>
      <w:r w:rsidR="0060500A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0500A">
        <w:rPr>
          <w:rFonts w:cs="B Mitra" w:hint="cs"/>
          <w:b/>
          <w:bCs/>
          <w:sz w:val="24"/>
          <w:szCs w:val="24"/>
          <w:rtl/>
          <w:lang w:bidi="fa-IR"/>
        </w:rPr>
        <w:t>اتمام</w:t>
      </w:r>
      <w:r w:rsidRPr="00AE13A7">
        <w:rPr>
          <w:rFonts w:cs="B Mitra" w:hint="cs"/>
          <w:b/>
          <w:bCs/>
          <w:sz w:val="24"/>
          <w:szCs w:val="24"/>
          <w:rtl/>
          <w:lang w:bidi="fa-IR"/>
        </w:rPr>
        <w:t xml:space="preserve"> است.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3827"/>
        <w:gridCol w:w="816"/>
      </w:tblGrid>
      <w:tr w:rsidR="005C5DAA" w:rsidTr="00557708">
        <w:trPr>
          <w:trHeight w:val="1232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sz w:val="28"/>
                <w:szCs w:val="28"/>
                <w:rtl/>
                <w:lang w:bidi="fa-IR"/>
              </w:rPr>
            </w:pPr>
            <w:r w:rsidRPr="00E54074">
              <w:rPr>
                <w:rFonts w:ascii="110_Besmellah" w:hAnsi="110_Besmellah" w:cs="B Titr" w:hint="cs"/>
                <w:sz w:val="28"/>
                <w:szCs w:val="28"/>
                <w:rtl/>
                <w:lang w:bidi="fa-IR"/>
              </w:rPr>
              <w:lastRenderedPageBreak/>
              <w:t>اعتبار استانی مصوب (م.ر)</w:t>
            </w:r>
          </w:p>
        </w:tc>
        <w:tc>
          <w:tcPr>
            <w:tcW w:w="1559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B Titr" w:hint="cs"/>
                <w:sz w:val="28"/>
                <w:szCs w:val="28"/>
                <w:rtl/>
                <w:lang w:bidi="fa-IR"/>
              </w:rPr>
              <w:t>اعتبارملی مصوب (م.ر)</w:t>
            </w:r>
          </w:p>
        </w:tc>
        <w:tc>
          <w:tcPr>
            <w:tcW w:w="127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B Titr" w:hint="cs"/>
                <w:sz w:val="28"/>
                <w:szCs w:val="28"/>
                <w:rtl/>
                <w:lang w:bidi="fa-IR"/>
              </w:rPr>
              <w:t>تعداد پروژه</w:t>
            </w:r>
          </w:p>
        </w:tc>
        <w:tc>
          <w:tcPr>
            <w:tcW w:w="3827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B Titr" w:hint="cs"/>
                <w:sz w:val="28"/>
                <w:szCs w:val="28"/>
                <w:rtl/>
                <w:lang w:bidi="fa-IR"/>
              </w:rPr>
              <w:t>عنوان پروژه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C5DAA" w:rsidTr="00557708">
        <w:trPr>
          <w:trHeight w:val="664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lang w:bidi="fa-IR"/>
              </w:rPr>
            </w:pPr>
            <w:r w:rsidRPr="00F14704"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703/260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تجهیز و نوسازی اراضی شالیزاری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C5DAA" w:rsidTr="00557708">
        <w:trPr>
          <w:trHeight w:val="616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1559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320/67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pStyle w:val="NormalWeb"/>
              <w:bidi/>
              <w:spacing w:before="106" w:beforeAutospacing="0" w:after="60" w:afterAutospacing="0"/>
              <w:ind w:left="72"/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eastAsiaTheme="minorHAnsi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ساختمان شبکه های آبیاری و زهکشی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5C5DAA" w:rsidTr="00557708">
        <w:trPr>
          <w:trHeight w:val="746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100/305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سامانه های نوین آبیاری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5C5DAA" w:rsidTr="00557708">
        <w:trPr>
          <w:trHeight w:val="707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F14704"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000/440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lang w:bidi="fa-IR"/>
              </w:rPr>
            </w:pPr>
            <w:r w:rsidRPr="00F14704"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000/440</w:t>
            </w:r>
          </w:p>
        </w:tc>
        <w:tc>
          <w:tcPr>
            <w:tcW w:w="127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162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تعمیق، مرمت و بازسازی آب بندانها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C5DAA" w:rsidTr="00557708">
        <w:trPr>
          <w:trHeight w:val="703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sz w:val="28"/>
                <w:szCs w:val="28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lang w:bidi="fa-IR"/>
              </w:rPr>
            </w:pPr>
            <w:r w:rsidRPr="00F14704"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000/17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توسعه باغات در اراضی شیبدار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C5DAA" w:rsidTr="00557708">
        <w:trPr>
          <w:trHeight w:val="703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sz w:val="28"/>
                <w:szCs w:val="28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lang w:bidi="fa-IR"/>
              </w:rPr>
            </w:pPr>
            <w:r w:rsidRPr="00F14704"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575/1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بازسازی و نوسازی قنوات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2  Lotus"/>
                <w:b/>
                <w:bCs/>
                <w:sz w:val="28"/>
                <w:szCs w:val="28"/>
                <w:lang w:bidi="fa-IR"/>
              </w:rPr>
            </w:pPr>
            <w:r w:rsidRPr="00E54074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C5DAA" w:rsidTr="00557708">
        <w:trPr>
          <w:trHeight w:val="704"/>
          <w:jc w:val="center"/>
        </w:trPr>
        <w:tc>
          <w:tcPr>
            <w:tcW w:w="1668" w:type="dxa"/>
            <w:vAlign w:val="center"/>
          </w:tcPr>
          <w:p w:rsidR="005C5DAA" w:rsidRPr="002A103C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Titr" w:eastAsia="+mn-ea" w:hAnsi="Times New Roman" w:cs="+mn-c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900/161</w:t>
            </w:r>
          </w:p>
        </w:tc>
        <w:tc>
          <w:tcPr>
            <w:tcW w:w="1559" w:type="dxa"/>
            <w:vAlign w:val="center"/>
          </w:tcPr>
          <w:p w:rsidR="005C5DAA" w:rsidRPr="00F14704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3827" w:type="dxa"/>
            <w:vAlign w:val="center"/>
          </w:tcPr>
          <w:p w:rsidR="005C5DAA" w:rsidRPr="007D6711" w:rsidRDefault="005C5DAA" w:rsidP="00557708">
            <w:pPr>
              <w:jc w:val="center"/>
              <w:rPr>
                <w:rFonts w:ascii="110_Besmellah" w:hAnsi="110_Besmellah" w:cs="B Karim"/>
                <w:b/>
                <w:bCs/>
                <w:sz w:val="28"/>
                <w:szCs w:val="28"/>
                <w:rtl/>
                <w:lang w:bidi="fa-IR"/>
              </w:rPr>
            </w:pPr>
            <w:r w:rsidRPr="007D6711">
              <w:rPr>
                <w:rFonts w:ascii="110_Besmellah" w:hAnsi="110_Besmellah" w:cs="B Karim" w:hint="cs"/>
                <w:b/>
                <w:bCs/>
                <w:sz w:val="28"/>
                <w:szCs w:val="28"/>
                <w:rtl/>
                <w:lang w:bidi="fa-IR"/>
              </w:rPr>
              <w:t>حوادث سیل  وا عبارات تملک دارایی استان</w:t>
            </w:r>
          </w:p>
        </w:tc>
        <w:tc>
          <w:tcPr>
            <w:tcW w:w="816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 w:rsidRPr="002A103C">
              <w:rPr>
                <w:rFonts w:ascii="110_Besmellah" w:hAnsi="110_Besmellah" w:cs="2  Lotus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C5DAA" w:rsidTr="00557708">
        <w:trPr>
          <w:trHeight w:val="704"/>
          <w:jc w:val="center"/>
        </w:trPr>
        <w:tc>
          <w:tcPr>
            <w:tcW w:w="1668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900/601</w:t>
            </w:r>
          </w:p>
        </w:tc>
        <w:tc>
          <w:tcPr>
            <w:tcW w:w="1559" w:type="dxa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698/091/1</w:t>
            </w:r>
          </w:p>
        </w:tc>
        <w:tc>
          <w:tcPr>
            <w:tcW w:w="1276" w:type="dxa"/>
            <w:vAlign w:val="center"/>
          </w:tcPr>
          <w:p w:rsidR="005C5DAA" w:rsidRPr="00E54074" w:rsidRDefault="008A7429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260</w:t>
            </w:r>
          </w:p>
        </w:tc>
        <w:tc>
          <w:tcPr>
            <w:tcW w:w="4643" w:type="dxa"/>
            <w:gridSpan w:val="2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 w:rsidRPr="00E54074"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  <w:r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(بجز ردیف 7)</w:t>
            </w:r>
          </w:p>
        </w:tc>
      </w:tr>
      <w:tr w:rsidR="005C5DAA" w:rsidTr="00557708">
        <w:trPr>
          <w:trHeight w:val="704"/>
          <w:jc w:val="center"/>
        </w:trPr>
        <w:tc>
          <w:tcPr>
            <w:tcW w:w="3227" w:type="dxa"/>
            <w:gridSpan w:val="2"/>
            <w:vAlign w:val="center"/>
          </w:tcPr>
          <w:p w:rsidR="005C5DAA" w:rsidRPr="00814526" w:rsidRDefault="005C5DAA" w:rsidP="00557708">
            <w:pPr>
              <w:jc w:val="center"/>
              <w:rPr>
                <w:rFonts w:ascii="110_Besmellah" w:hAnsi="110_Besmellah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Mitra" w:hint="cs"/>
                <w:b/>
                <w:bCs/>
                <w:sz w:val="28"/>
                <w:szCs w:val="28"/>
                <w:rtl/>
                <w:lang w:bidi="fa-IR"/>
              </w:rPr>
              <w:t>597/693/1</w:t>
            </w:r>
          </w:p>
        </w:tc>
        <w:tc>
          <w:tcPr>
            <w:tcW w:w="1276" w:type="dxa"/>
            <w:vAlign w:val="center"/>
          </w:tcPr>
          <w:p w:rsidR="005C5DAA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5C5DAA" w:rsidRPr="00E54074" w:rsidRDefault="005C5DAA" w:rsidP="00557708">
            <w:pPr>
              <w:jc w:val="center"/>
              <w:rPr>
                <w:rFonts w:ascii="110_Besmellah" w:hAnsi="110_Besmellah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10_Besmellah" w:hAnsi="110_Besmellah" w:cs="B Titr" w:hint="cs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</w:tr>
    </w:tbl>
    <w:p w:rsidR="005C5DAA" w:rsidRDefault="005C5DAA" w:rsidP="005C5DA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EA2E99" w:rsidRPr="00F06115" w:rsidRDefault="00EA2E99" w:rsidP="00EA2E99">
      <w:pPr>
        <w:pStyle w:val="a"/>
        <w:jc w:val="center"/>
        <w:rPr>
          <w:sz w:val="28"/>
          <w:rtl/>
        </w:rPr>
      </w:pPr>
      <w:r w:rsidRPr="00F06115">
        <w:rPr>
          <w:rFonts w:hint="cs"/>
          <w:sz w:val="28"/>
          <w:rtl/>
        </w:rPr>
        <w:t xml:space="preserve">جدول گزارش </w:t>
      </w:r>
      <w:r w:rsidR="0060500A">
        <w:rPr>
          <w:rFonts w:hint="cs"/>
          <w:sz w:val="28"/>
          <w:rtl/>
        </w:rPr>
        <w:t xml:space="preserve">عملکرد </w:t>
      </w:r>
      <w:r w:rsidRPr="00F06115">
        <w:rPr>
          <w:rFonts w:hint="cs"/>
          <w:sz w:val="28"/>
          <w:rtl/>
        </w:rPr>
        <w:t>یکساله 98 اهم اقدامات انجام شده در حوزه آب و خاک استان گیلان</w:t>
      </w:r>
    </w:p>
    <w:p w:rsidR="00EA2E99" w:rsidRDefault="00EA2E99" w:rsidP="00EA2E99">
      <w:pPr>
        <w:pStyle w:val="a"/>
        <w:jc w:val="center"/>
        <w:rPr>
          <w:szCs w:val="24"/>
          <w:rtl/>
        </w:rPr>
      </w:pPr>
    </w:p>
    <w:tbl>
      <w:tblPr>
        <w:tblStyle w:val="TableGrid"/>
        <w:bidiVisual/>
        <w:tblW w:w="9858" w:type="dxa"/>
        <w:tblLayout w:type="fixed"/>
        <w:tblLook w:val="04A0" w:firstRow="1" w:lastRow="0" w:firstColumn="1" w:lastColumn="0" w:noHBand="0" w:noVBand="1"/>
      </w:tblPr>
      <w:tblGrid>
        <w:gridCol w:w="1016"/>
        <w:gridCol w:w="900"/>
        <w:gridCol w:w="990"/>
        <w:gridCol w:w="990"/>
        <w:gridCol w:w="990"/>
        <w:gridCol w:w="1080"/>
        <w:gridCol w:w="990"/>
        <w:gridCol w:w="1080"/>
        <w:gridCol w:w="1822"/>
      </w:tblGrid>
      <w:tr w:rsidR="00EA2E99" w:rsidTr="000A3164">
        <w:trPr>
          <w:trHeight w:val="1378"/>
        </w:trPr>
        <w:tc>
          <w:tcPr>
            <w:tcW w:w="1016" w:type="dxa"/>
            <w:vAlign w:val="center"/>
          </w:tcPr>
          <w:p w:rsidR="00EA2E99" w:rsidRPr="00C8499B" w:rsidRDefault="00EA2E99" w:rsidP="000A3164">
            <w:pPr>
              <w:pStyle w:val="a"/>
              <w:jc w:val="center"/>
              <w:rPr>
                <w:sz w:val="16"/>
                <w:szCs w:val="16"/>
                <w:rtl/>
              </w:rPr>
            </w:pPr>
            <w:r w:rsidRPr="00C8499B">
              <w:rPr>
                <w:rFonts w:hint="cs"/>
                <w:sz w:val="16"/>
                <w:szCs w:val="16"/>
                <w:rtl/>
              </w:rPr>
              <w:t>تجهیز و نوسازی اراضی(هکتار)</w:t>
            </w:r>
          </w:p>
        </w:tc>
        <w:tc>
          <w:tcPr>
            <w:tcW w:w="900" w:type="dxa"/>
            <w:vAlign w:val="center"/>
          </w:tcPr>
          <w:p w:rsidR="00EA2E99" w:rsidRPr="00C8499B" w:rsidRDefault="00EA2E99" w:rsidP="000A3164">
            <w:pPr>
              <w:pStyle w:val="a"/>
              <w:jc w:val="center"/>
              <w:rPr>
                <w:sz w:val="16"/>
                <w:szCs w:val="16"/>
                <w:rtl/>
              </w:rPr>
            </w:pPr>
            <w:r w:rsidRPr="00C8499B">
              <w:rPr>
                <w:rFonts w:hint="cs"/>
                <w:sz w:val="16"/>
                <w:szCs w:val="16"/>
                <w:rtl/>
              </w:rPr>
              <w:t>احداث شبکه های فرعی آبیاری و زهکشی (کیلومتر)</w:t>
            </w:r>
          </w:p>
        </w:tc>
        <w:tc>
          <w:tcPr>
            <w:tcW w:w="990" w:type="dxa"/>
            <w:vAlign w:val="center"/>
          </w:tcPr>
          <w:p w:rsidR="00EA2E99" w:rsidRPr="00C8499B" w:rsidRDefault="00EA2E99" w:rsidP="000A3164">
            <w:pPr>
              <w:pStyle w:val="a"/>
              <w:jc w:val="center"/>
              <w:rPr>
                <w:sz w:val="16"/>
                <w:szCs w:val="16"/>
                <w:rtl/>
              </w:rPr>
            </w:pPr>
            <w:r w:rsidRPr="00C8499B">
              <w:rPr>
                <w:rFonts w:hint="cs"/>
                <w:sz w:val="16"/>
                <w:szCs w:val="16"/>
                <w:rtl/>
              </w:rPr>
              <w:t>احداث و بازسازی کانالهای آبیاری عمومی (کیلومتر )</w:t>
            </w:r>
          </w:p>
        </w:tc>
        <w:tc>
          <w:tcPr>
            <w:tcW w:w="990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لایروبی قنوات(کیلومتر/رشته)</w:t>
            </w:r>
          </w:p>
          <w:p w:rsidR="00EA2E99" w:rsidRPr="00C8499B" w:rsidRDefault="00EA2E99" w:rsidP="000A3164">
            <w:pPr>
              <w:pStyle w:val="a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احداث جاده های بین مزارع(کیلومتر)</w:t>
            </w:r>
          </w:p>
          <w:p w:rsidR="00EA2E99" w:rsidRPr="00C8499B" w:rsidRDefault="00EA2E99" w:rsidP="000A3164">
            <w:pPr>
              <w:pStyle w:val="a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لایروبی و بازسازی آببندانها(هکتار)</w:t>
            </w:r>
          </w:p>
        </w:tc>
        <w:tc>
          <w:tcPr>
            <w:tcW w:w="990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اجرای سامانه های نوین آبیاری(هکتار)</w:t>
            </w:r>
          </w:p>
        </w:tc>
        <w:tc>
          <w:tcPr>
            <w:tcW w:w="1080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تامین و انتقال آب اراضی شیبدار(میلیون ریال)</w:t>
            </w:r>
          </w:p>
        </w:tc>
        <w:tc>
          <w:tcPr>
            <w:tcW w:w="1822" w:type="dxa"/>
            <w:vAlign w:val="center"/>
          </w:tcPr>
          <w:p w:rsidR="00EA2E99" w:rsidRPr="00C8499B" w:rsidRDefault="00EA2E99" w:rsidP="000A3164">
            <w:pPr>
              <w:bidi/>
              <w:jc w:val="center"/>
              <w:rPr>
                <w:rFonts w:cs="B Mitra"/>
                <w:bCs/>
                <w:color w:val="000000"/>
                <w:sz w:val="16"/>
                <w:szCs w:val="16"/>
              </w:rPr>
            </w:pPr>
            <w:r w:rsidRPr="00C8499B">
              <w:rPr>
                <w:rFonts w:cs="B Mitra" w:hint="cs"/>
                <w:bCs/>
                <w:color w:val="000000"/>
                <w:sz w:val="16"/>
                <w:szCs w:val="16"/>
                <w:rtl/>
              </w:rPr>
              <w:t>سردهنه ساز ،احداث ایستگاههای پمپاژ ،جبران خسارات ناشی از سیل  از محل اعتبارات استانی (میلیون ریال)</w:t>
            </w:r>
          </w:p>
        </w:tc>
      </w:tr>
      <w:tr w:rsidR="00EA2E99" w:rsidTr="000A3164">
        <w:tc>
          <w:tcPr>
            <w:tcW w:w="1016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1760</w:t>
            </w:r>
          </w:p>
        </w:tc>
        <w:tc>
          <w:tcPr>
            <w:tcW w:w="900" w:type="dxa"/>
          </w:tcPr>
          <w:p w:rsidR="00EA2E99" w:rsidRPr="00C8499B" w:rsidRDefault="00357D60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  <w:r w:rsidR="00EA2E99">
              <w:rPr>
                <w:rFonts w:hint="cs"/>
                <w:sz w:val="20"/>
                <w:szCs w:val="20"/>
                <w:rtl/>
              </w:rPr>
              <w:t>/5</w:t>
            </w:r>
          </w:p>
        </w:tc>
        <w:tc>
          <w:tcPr>
            <w:tcW w:w="990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990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15/0</w:t>
            </w:r>
          </w:p>
        </w:tc>
        <w:tc>
          <w:tcPr>
            <w:tcW w:w="990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080" w:type="dxa"/>
          </w:tcPr>
          <w:p w:rsidR="00EA2E99" w:rsidRPr="00C8499B" w:rsidRDefault="00EA2E99" w:rsidP="00EA2E99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6</w:t>
            </w:r>
            <w:r w:rsidRPr="00C8499B">
              <w:rPr>
                <w:rFonts w:hint="cs"/>
                <w:sz w:val="20"/>
                <w:szCs w:val="20"/>
                <w:rtl/>
              </w:rPr>
              <w:t>00</w:t>
            </w:r>
          </w:p>
        </w:tc>
        <w:tc>
          <w:tcPr>
            <w:tcW w:w="990" w:type="dxa"/>
          </w:tcPr>
          <w:p w:rsidR="00EA2E99" w:rsidRPr="00C8499B" w:rsidRDefault="00F06115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1340</w:t>
            </w:r>
          </w:p>
        </w:tc>
        <w:tc>
          <w:tcPr>
            <w:tcW w:w="1080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132</w:t>
            </w:r>
          </w:p>
        </w:tc>
        <w:tc>
          <w:tcPr>
            <w:tcW w:w="1822" w:type="dxa"/>
          </w:tcPr>
          <w:p w:rsidR="00EA2E99" w:rsidRPr="00C8499B" w:rsidRDefault="00EA2E99" w:rsidP="000A3164">
            <w:pPr>
              <w:pStyle w:val="a"/>
              <w:jc w:val="center"/>
              <w:rPr>
                <w:sz w:val="20"/>
                <w:szCs w:val="20"/>
                <w:rtl/>
              </w:rPr>
            </w:pPr>
            <w:r w:rsidRPr="00C8499B">
              <w:rPr>
                <w:rFonts w:hint="cs"/>
                <w:sz w:val="20"/>
                <w:szCs w:val="20"/>
                <w:rtl/>
              </w:rPr>
              <w:t>190131</w:t>
            </w:r>
          </w:p>
        </w:tc>
      </w:tr>
    </w:tbl>
    <w:p w:rsidR="00EA2E99" w:rsidRDefault="00EA2E99" w:rsidP="00EA2E99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F772BF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772BF" w:rsidRDefault="00F772BF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سال جاری نیز تا کنون اعتباراتی به شرح ذیل ابلاغ گردیده که در صورت تخصیص منابع مالی عملیات اجرائی حول محورهای مربوطه عملیاتی خواهد شد</w:t>
      </w:r>
    </w:p>
    <w:p w:rsidR="0060500A" w:rsidRDefault="0060500A" w:rsidP="0060500A">
      <w:pPr>
        <w:pStyle w:val="ListParagraph"/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772BF" w:rsidRDefault="00F772BF" w:rsidP="00F772BF">
      <w:pPr>
        <w:pStyle w:val="ListParagraph"/>
        <w:bidi/>
        <w:spacing w:line="36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اعتبارات ابلاغی در سال 1399</w:t>
      </w:r>
    </w:p>
    <w:p w:rsidR="00F772BF" w:rsidRDefault="00F772BF" w:rsidP="00F772BF">
      <w:pPr>
        <w:pStyle w:val="ListParagraph"/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 w:rsidRPr="00F772BF">
        <w:rPr>
          <w:rFonts w:hint="cs"/>
          <w:noProof/>
          <w:rtl/>
          <w:lang w:bidi="fa-IR"/>
        </w:rPr>
        <w:drawing>
          <wp:inline distT="0" distB="0" distL="0" distR="0">
            <wp:extent cx="5522400" cy="288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2BF" w:rsidSect="00E42B83">
      <w:footerReference w:type="default" r:id="rId9"/>
      <w:pgSz w:w="12240" w:h="15840"/>
      <w:pgMar w:top="993" w:right="900" w:bottom="144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A5" w:rsidRDefault="00235BA5" w:rsidP="000369D0">
      <w:pPr>
        <w:spacing w:after="0" w:line="240" w:lineRule="auto"/>
      </w:pPr>
      <w:r>
        <w:separator/>
      </w:r>
    </w:p>
  </w:endnote>
  <w:endnote w:type="continuationSeparator" w:id="0">
    <w:p w:rsidR="00235BA5" w:rsidRDefault="00235BA5" w:rsidP="000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10_Besmella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540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B0E" w:rsidRDefault="000F4058" w:rsidP="00683B0E">
        <w:pPr>
          <w:pStyle w:val="Footer"/>
          <w:bidi/>
          <w:jc w:val="center"/>
        </w:pPr>
        <w:r w:rsidRPr="00683B0E">
          <w:rPr>
            <w:rFonts w:cs="B Mitra"/>
          </w:rPr>
          <w:fldChar w:fldCharType="begin"/>
        </w:r>
        <w:r w:rsidR="00683B0E" w:rsidRPr="00683B0E">
          <w:rPr>
            <w:rFonts w:cs="B Mitra"/>
          </w:rPr>
          <w:instrText xml:space="preserve"> PAGE   \* MERGEFORMAT </w:instrText>
        </w:r>
        <w:r w:rsidRPr="00683B0E">
          <w:rPr>
            <w:rFonts w:cs="B Mitra"/>
          </w:rPr>
          <w:fldChar w:fldCharType="separate"/>
        </w:r>
        <w:r w:rsidR="00A01D59">
          <w:rPr>
            <w:rFonts w:cs="B Mitra"/>
            <w:noProof/>
            <w:rtl/>
          </w:rPr>
          <w:t>1</w:t>
        </w:r>
        <w:r w:rsidRPr="00683B0E">
          <w:rPr>
            <w:rFonts w:cs="B Mitra"/>
            <w:noProof/>
          </w:rPr>
          <w:fldChar w:fldCharType="end"/>
        </w:r>
      </w:p>
    </w:sdtContent>
  </w:sdt>
  <w:p w:rsidR="00E80F11" w:rsidRDefault="00E8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A5" w:rsidRDefault="00235BA5" w:rsidP="000369D0">
      <w:pPr>
        <w:spacing w:after="0" w:line="240" w:lineRule="auto"/>
      </w:pPr>
      <w:r>
        <w:separator/>
      </w:r>
    </w:p>
  </w:footnote>
  <w:footnote w:type="continuationSeparator" w:id="0">
    <w:p w:rsidR="00235BA5" w:rsidRDefault="00235BA5" w:rsidP="0003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7BA1"/>
    <w:multiLevelType w:val="hybridMultilevel"/>
    <w:tmpl w:val="05C60104"/>
    <w:lvl w:ilvl="0" w:tplc="4238A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79F"/>
    <w:multiLevelType w:val="hybridMultilevel"/>
    <w:tmpl w:val="8B0CAE76"/>
    <w:lvl w:ilvl="0" w:tplc="6366CC7E">
      <w:start w:val="1"/>
      <w:numFmt w:val="decimal"/>
      <w:lvlText w:val="%1-"/>
      <w:lvlJc w:val="left"/>
      <w:pPr>
        <w:ind w:left="756" w:hanging="540"/>
      </w:pPr>
      <w:rPr>
        <w:rFonts w:ascii="110_Besmellah" w:hAnsi="110_Besmellah" w:cs="B Mitra" w:hint="default"/>
        <w:b/>
        <w:bCs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E6F1C4C"/>
    <w:multiLevelType w:val="hybridMultilevel"/>
    <w:tmpl w:val="E01E90C4"/>
    <w:lvl w:ilvl="0" w:tplc="0CC2CD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BF"/>
    <w:rsid w:val="0000253C"/>
    <w:rsid w:val="0002175A"/>
    <w:rsid w:val="0002501E"/>
    <w:rsid w:val="00032B39"/>
    <w:rsid w:val="000369D0"/>
    <w:rsid w:val="00040D0F"/>
    <w:rsid w:val="000514CA"/>
    <w:rsid w:val="00071933"/>
    <w:rsid w:val="000F4058"/>
    <w:rsid w:val="00130911"/>
    <w:rsid w:val="001922F7"/>
    <w:rsid w:val="001B62AE"/>
    <w:rsid w:val="001D62AF"/>
    <w:rsid w:val="001D758A"/>
    <w:rsid w:val="00223635"/>
    <w:rsid w:val="00235BA5"/>
    <w:rsid w:val="002A103C"/>
    <w:rsid w:val="002D30B8"/>
    <w:rsid w:val="002E721A"/>
    <w:rsid w:val="00357D60"/>
    <w:rsid w:val="003D581E"/>
    <w:rsid w:val="003F2DAB"/>
    <w:rsid w:val="003F6FC1"/>
    <w:rsid w:val="00423433"/>
    <w:rsid w:val="004247A2"/>
    <w:rsid w:val="00485F87"/>
    <w:rsid w:val="00487E7D"/>
    <w:rsid w:val="004A7016"/>
    <w:rsid w:val="004F2BA5"/>
    <w:rsid w:val="005361C2"/>
    <w:rsid w:val="005A0A94"/>
    <w:rsid w:val="005C5DAA"/>
    <w:rsid w:val="005D54EA"/>
    <w:rsid w:val="0060500A"/>
    <w:rsid w:val="0067064F"/>
    <w:rsid w:val="00683B0E"/>
    <w:rsid w:val="006B2886"/>
    <w:rsid w:val="006F2C00"/>
    <w:rsid w:val="006F3A4B"/>
    <w:rsid w:val="00760AA2"/>
    <w:rsid w:val="00771EE6"/>
    <w:rsid w:val="0077444B"/>
    <w:rsid w:val="007D6711"/>
    <w:rsid w:val="00806A1F"/>
    <w:rsid w:val="00807C74"/>
    <w:rsid w:val="008374ED"/>
    <w:rsid w:val="00856588"/>
    <w:rsid w:val="00860411"/>
    <w:rsid w:val="008670F6"/>
    <w:rsid w:val="00886EA7"/>
    <w:rsid w:val="008A0EE0"/>
    <w:rsid w:val="008A7429"/>
    <w:rsid w:val="008B031B"/>
    <w:rsid w:val="008C16F5"/>
    <w:rsid w:val="008E4D98"/>
    <w:rsid w:val="00911E3E"/>
    <w:rsid w:val="00964EF5"/>
    <w:rsid w:val="00972150"/>
    <w:rsid w:val="00996C7A"/>
    <w:rsid w:val="009B6B51"/>
    <w:rsid w:val="00A01D59"/>
    <w:rsid w:val="00A62472"/>
    <w:rsid w:val="00A82DEB"/>
    <w:rsid w:val="00A8675C"/>
    <w:rsid w:val="00AA4690"/>
    <w:rsid w:val="00AD3DF7"/>
    <w:rsid w:val="00AE13A7"/>
    <w:rsid w:val="00B87234"/>
    <w:rsid w:val="00BE215F"/>
    <w:rsid w:val="00BE2EB9"/>
    <w:rsid w:val="00C04EFF"/>
    <w:rsid w:val="00C12213"/>
    <w:rsid w:val="00CB7FF9"/>
    <w:rsid w:val="00CE29A2"/>
    <w:rsid w:val="00D15AB0"/>
    <w:rsid w:val="00D45562"/>
    <w:rsid w:val="00D504C0"/>
    <w:rsid w:val="00D564F2"/>
    <w:rsid w:val="00DD4FC1"/>
    <w:rsid w:val="00DF1374"/>
    <w:rsid w:val="00E02E91"/>
    <w:rsid w:val="00E044BF"/>
    <w:rsid w:val="00E136AD"/>
    <w:rsid w:val="00E35B38"/>
    <w:rsid w:val="00E42B83"/>
    <w:rsid w:val="00E80F11"/>
    <w:rsid w:val="00EA2E99"/>
    <w:rsid w:val="00F06115"/>
    <w:rsid w:val="00F22ECE"/>
    <w:rsid w:val="00F40F72"/>
    <w:rsid w:val="00F43D73"/>
    <w:rsid w:val="00F772BF"/>
    <w:rsid w:val="00F85572"/>
    <w:rsid w:val="00FA0DB7"/>
    <w:rsid w:val="00FA3F49"/>
    <w:rsid w:val="00FB68B9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D0"/>
  </w:style>
  <w:style w:type="paragraph" w:styleId="Footer">
    <w:name w:val="footer"/>
    <w:basedOn w:val="Normal"/>
    <w:link w:val="FooterChar"/>
    <w:uiPriority w:val="99"/>
    <w:unhideWhenUsed/>
    <w:rsid w:val="0003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D0"/>
  </w:style>
  <w:style w:type="paragraph" w:styleId="ListParagraph">
    <w:name w:val="List Paragraph"/>
    <w:basedOn w:val="Normal"/>
    <w:uiPriority w:val="34"/>
    <w:qFormat/>
    <w:rsid w:val="00487E7D"/>
    <w:pPr>
      <w:ind w:left="720"/>
      <w:contextualSpacing/>
    </w:pPr>
  </w:style>
  <w:style w:type="paragraph" w:customStyle="1" w:styleId="a">
    <w:name w:val="متن"/>
    <w:basedOn w:val="Normal"/>
    <w:qFormat/>
    <w:rsid w:val="00EA2E99"/>
    <w:pPr>
      <w:bidi/>
      <w:spacing w:after="0" w:line="240" w:lineRule="auto"/>
      <w:jc w:val="both"/>
    </w:pPr>
    <w:rPr>
      <w:rFonts w:ascii="Times New Roman" w:eastAsia="Times New Roman" w:hAnsi="Times New Roman" w:cs="B Mitra"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D0"/>
  </w:style>
  <w:style w:type="paragraph" w:styleId="Footer">
    <w:name w:val="footer"/>
    <w:basedOn w:val="Normal"/>
    <w:link w:val="FooterChar"/>
    <w:uiPriority w:val="99"/>
    <w:unhideWhenUsed/>
    <w:rsid w:val="0003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D0"/>
  </w:style>
  <w:style w:type="paragraph" w:styleId="ListParagraph">
    <w:name w:val="List Paragraph"/>
    <w:basedOn w:val="Normal"/>
    <w:uiPriority w:val="34"/>
    <w:qFormat/>
    <w:rsid w:val="00487E7D"/>
    <w:pPr>
      <w:ind w:left="720"/>
      <w:contextualSpacing/>
    </w:pPr>
  </w:style>
  <w:style w:type="paragraph" w:customStyle="1" w:styleId="a">
    <w:name w:val="متن"/>
    <w:basedOn w:val="Normal"/>
    <w:qFormat/>
    <w:rsid w:val="00EA2E99"/>
    <w:pPr>
      <w:bidi/>
      <w:spacing w:after="0" w:line="240" w:lineRule="auto"/>
      <w:jc w:val="both"/>
    </w:pPr>
    <w:rPr>
      <w:rFonts w:ascii="Times New Roman" w:eastAsia="Times New Roman" w:hAnsi="Times New Roman" w:cs="B Mitra"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میرحسینی</dc:creator>
  <cp:lastModifiedBy>moosavi</cp:lastModifiedBy>
  <cp:revision>2</cp:revision>
  <cp:lastPrinted>2020-09-20T14:00:00Z</cp:lastPrinted>
  <dcterms:created xsi:type="dcterms:W3CDTF">2021-07-20T04:10:00Z</dcterms:created>
  <dcterms:modified xsi:type="dcterms:W3CDTF">2021-07-20T04:10:00Z</dcterms:modified>
</cp:coreProperties>
</file>